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66811" w:rsidRDefault="003C2506" w:rsidP="003C2506">
      <w:pPr>
        <w:jc w:val="center"/>
      </w:pPr>
      <w:r w:rsidRPr="003C2506">
        <w:rPr>
          <w:noProof/>
        </w:rPr>
        <w:drawing>
          <wp:inline distT="0" distB="0" distL="0" distR="0" wp14:anchorId="3ABA0820" wp14:editId="25CD2371">
            <wp:extent cx="3721100" cy="975994"/>
            <wp:effectExtent l="0" t="0" r="0" b="2540"/>
            <wp:docPr id="75751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158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2987" cy="9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A0" w:rsidRDefault="00D55FA0" w:rsidP="003C2506">
      <w:pPr>
        <w:jc w:val="center"/>
      </w:pPr>
    </w:p>
    <w:p w:rsidR="004450FE" w:rsidRDefault="00FC329E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FC329E">
        <w:rPr>
          <w:rFonts w:ascii="Helvetica" w:hAnsi="Helvetica" w:cs="Helvetica"/>
        </w:rPr>
        <w:drawing>
          <wp:inline distT="0" distB="0" distL="0" distR="0" wp14:anchorId="30603041" wp14:editId="6A62B16B">
            <wp:extent cx="5943600" cy="1854200"/>
            <wp:effectExtent l="0" t="0" r="0" b="0"/>
            <wp:docPr id="163444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42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FC329E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FC329E">
        <w:rPr>
          <w:rFonts w:ascii="Helvetica" w:hAnsi="Helvetica" w:cs="Helvetica"/>
        </w:rPr>
        <w:drawing>
          <wp:inline distT="0" distB="0" distL="0" distR="0" wp14:anchorId="565B9F0A" wp14:editId="67FCD46A">
            <wp:extent cx="5943600" cy="2800350"/>
            <wp:effectExtent l="0" t="0" r="0" b="6350"/>
            <wp:docPr id="15033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5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30693A05" wp14:editId="72783C70">
            <wp:extent cx="5943600" cy="1360805"/>
            <wp:effectExtent l="0" t="0" r="0" b="0"/>
            <wp:docPr id="110839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95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0863C495" wp14:editId="313793D2">
            <wp:extent cx="5943600" cy="1929130"/>
            <wp:effectExtent l="0" t="0" r="0" b="1270"/>
            <wp:docPr id="112493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397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lastRenderedPageBreak/>
        <w:drawing>
          <wp:inline distT="0" distB="0" distL="0" distR="0" wp14:anchorId="4EBFD37E" wp14:editId="71E95730">
            <wp:extent cx="5943600" cy="2714625"/>
            <wp:effectExtent l="0" t="0" r="0" b="3175"/>
            <wp:docPr id="577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0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To help with the design of fair models, it is important to consider how the AI system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will impact humans. Human-centered design (HCD) is an approach that aims to make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(AI) systems relevant to the users, by asking questions to clarify their needs and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requirements. HCD also considers the risks AI can pose.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01EE5F06" wp14:editId="23BCC7FE">
            <wp:extent cx="5943600" cy="2714625"/>
            <wp:effectExtent l="0" t="0" r="0" b="3175"/>
            <wp:docPr id="159978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84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Human-centered design (HCD) is a big area of research. The main goal of HCD for AI is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to ask questions about potential harms and risk, as well as the value proposition of</w:t>
      </w:r>
      <w:r>
        <w:rPr>
          <w:rFonts w:ascii="Helvetica" w:hAnsi="Helvetica" w:cs="Helvetica"/>
        </w:rPr>
        <w:t xml:space="preserve"> </w:t>
      </w:r>
      <w:r w:rsidRPr="005A3F2A">
        <w:rPr>
          <w:rFonts w:ascii="Helvetica" w:hAnsi="Helvetica" w:cs="Helvetica"/>
        </w:rPr>
        <w:t xml:space="preserve">using AI. From a practical design point, you should ensure that safety measures are in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place for AI systems. You should also include mechanisms to allow end users to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challenge unexpected model behavior and outcomes.</w:t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5A5F7931" wp14:editId="113CA18C">
            <wp:extent cx="5943600" cy="1778635"/>
            <wp:effectExtent l="0" t="0" r="0" b="0"/>
            <wp:docPr id="86236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60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5A3F2A">
      <w:pPr>
        <w:autoSpaceDE w:val="0"/>
        <w:autoSpaceDN w:val="0"/>
        <w:adjustRightInd w:val="0"/>
        <w:jc w:val="center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lastRenderedPageBreak/>
        <w:drawing>
          <wp:inline distT="0" distB="0" distL="0" distR="0" wp14:anchorId="1D2085EC" wp14:editId="3E267115">
            <wp:extent cx="5511800" cy="2579240"/>
            <wp:effectExtent l="0" t="0" r="0" b="0"/>
            <wp:docPr id="49180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04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6460" cy="25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Bias in the outputs of ML models can stem from bias in the training data that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algorithms learn from. Bias in the training data can be because of different effects.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For example, biased sampling methods might lead to a skewed representation, or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features could be of low quality or not reproducible.</w:t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5A3F2A">
      <w:pPr>
        <w:autoSpaceDE w:val="0"/>
        <w:autoSpaceDN w:val="0"/>
        <w:adjustRightInd w:val="0"/>
        <w:jc w:val="center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614EAB6D" wp14:editId="262F67A5">
            <wp:extent cx="5511800" cy="1426237"/>
            <wp:effectExtent l="0" t="0" r="0" b="0"/>
            <wp:docPr id="119239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8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3952" cy="143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5A3F2A">
      <w:pPr>
        <w:autoSpaceDE w:val="0"/>
        <w:autoSpaceDN w:val="0"/>
        <w:adjustRightInd w:val="0"/>
        <w:jc w:val="center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318FF978" wp14:editId="76645D84">
            <wp:extent cx="5448300" cy="2175828"/>
            <wp:effectExtent l="0" t="0" r="0" b="0"/>
            <wp:docPr id="5165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9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8894" cy="21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Data should be reproducible and not depend on who recorded it. If the data quality is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poor, then the model may end up perpetuating existing biases or even amplify the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bias. It is therefor</w:t>
      </w:r>
      <w:r>
        <w:rPr>
          <w:rFonts w:ascii="Helvetica" w:hAnsi="Helvetica" w:cs="Helvetica"/>
        </w:rPr>
        <w:t>e</w:t>
      </w:r>
      <w:r w:rsidRPr="005A3F2A">
        <w:rPr>
          <w:rFonts w:ascii="Helvetica" w:hAnsi="Helvetica" w:cs="Helvetica"/>
        </w:rPr>
        <w:t xml:space="preserve"> very important to ensure that the data quality is as high as possible.</w:t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5A3F2A" w:rsidP="005A3F2A">
      <w:pPr>
        <w:autoSpaceDE w:val="0"/>
        <w:autoSpaceDN w:val="0"/>
        <w:adjustRightInd w:val="0"/>
        <w:jc w:val="center"/>
        <w:rPr>
          <w:rFonts w:ascii="Helvetica" w:hAnsi="Helvetica" w:cs="Helvetica"/>
        </w:rPr>
      </w:pPr>
      <w:r w:rsidRPr="005A3F2A">
        <w:rPr>
          <w:rFonts w:ascii="Helvetica" w:hAnsi="Helvetica" w:cs="Helvetica"/>
          <w:noProof/>
        </w:rPr>
        <w:drawing>
          <wp:inline distT="0" distB="0" distL="0" distR="0" wp14:anchorId="6931F5A0" wp14:editId="2B67EF40">
            <wp:extent cx="5575300" cy="2314107"/>
            <wp:effectExtent l="0" t="0" r="0" b="0"/>
            <wp:docPr id="20888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08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232" cy="232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lastRenderedPageBreak/>
        <w:t>References: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•</w:t>
      </w:r>
      <w:r>
        <w:rPr>
          <w:rFonts w:ascii="Helvetica" w:hAnsi="Helvetica" w:cs="Helvetica"/>
        </w:rPr>
        <w:t xml:space="preserve"> </w:t>
      </w:r>
      <w:proofErr w:type="spellStart"/>
      <w:r w:rsidRPr="005A3F2A">
        <w:rPr>
          <w:rFonts w:ascii="Helvetica" w:hAnsi="Helvetica" w:cs="Helvetica"/>
        </w:rPr>
        <w:t>Tolga</w:t>
      </w:r>
      <w:proofErr w:type="spellEnd"/>
      <w:r w:rsidRPr="005A3F2A">
        <w:rPr>
          <w:rFonts w:ascii="Helvetica" w:hAnsi="Helvetica" w:cs="Helvetica"/>
        </w:rPr>
        <w:t xml:space="preserve"> </w:t>
      </w:r>
      <w:proofErr w:type="spellStart"/>
      <w:r w:rsidRPr="005A3F2A">
        <w:rPr>
          <w:rFonts w:ascii="Helvetica" w:hAnsi="Helvetica" w:cs="Helvetica"/>
        </w:rPr>
        <w:t>Bolukbasi</w:t>
      </w:r>
      <w:proofErr w:type="spellEnd"/>
      <w:r w:rsidRPr="005A3F2A">
        <w:rPr>
          <w:rFonts w:ascii="Helvetica" w:hAnsi="Helvetica" w:cs="Helvetica"/>
        </w:rPr>
        <w:t xml:space="preserve">, Kai-Wei Chang, James Zou, Venkatesh </w:t>
      </w:r>
      <w:proofErr w:type="spellStart"/>
      <w:r w:rsidRPr="005A3F2A">
        <w:rPr>
          <w:rFonts w:ascii="Helvetica" w:hAnsi="Helvetica" w:cs="Helvetica"/>
        </w:rPr>
        <w:t>Saligrama</w:t>
      </w:r>
      <w:proofErr w:type="spellEnd"/>
      <w:r w:rsidRPr="005A3F2A">
        <w:rPr>
          <w:rFonts w:ascii="Helvetica" w:hAnsi="Helvetica" w:cs="Helvetica"/>
        </w:rPr>
        <w:t xml:space="preserve">, and Adam </w:t>
      </w:r>
      <w:proofErr w:type="spellStart"/>
      <w:r w:rsidRPr="005A3F2A">
        <w:rPr>
          <w:rFonts w:ascii="Helvetica" w:hAnsi="Helvetica" w:cs="Helvetica"/>
        </w:rPr>
        <w:t>Kalai</w:t>
      </w:r>
      <w:proofErr w:type="spellEnd"/>
      <w:r w:rsidRPr="005A3F2A">
        <w:rPr>
          <w:rFonts w:ascii="Helvetica" w:hAnsi="Helvetica" w:cs="Helvetica"/>
        </w:rPr>
        <w:t xml:space="preserve">,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“Man Is to Computer Programmer as Woman Is to Homemaker? Debiasing Word </w:t>
      </w:r>
    </w:p>
    <w:p w:rsid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Embeddings,” </w:t>
      </w:r>
      <w:proofErr w:type="spellStart"/>
      <w:r w:rsidRPr="005A3F2A">
        <w:rPr>
          <w:rFonts w:ascii="Helvetica" w:hAnsi="Helvetica" w:cs="Helvetica"/>
        </w:rPr>
        <w:t>arXiv</w:t>
      </w:r>
      <w:proofErr w:type="spellEnd"/>
      <w:r w:rsidRPr="005A3F2A">
        <w:rPr>
          <w:rFonts w:ascii="Helvetica" w:hAnsi="Helvetica" w:cs="Helvetica"/>
        </w:rPr>
        <w:t xml:space="preserve"> (July 2016). </w:t>
      </w:r>
      <w:hyperlink r:id="rId17" w:history="1">
        <w:r w:rsidRPr="005A3F2A">
          <w:rPr>
            <w:rStyle w:val="Hyperlink"/>
            <w:rFonts w:ascii="Helvetica" w:hAnsi="Helvetica" w:cs="Helvetica"/>
          </w:rPr>
          <w:t>https://doi.org/10.48550/arXiv.1607.06520</w:t>
        </w:r>
      </w:hyperlink>
      <w:r>
        <w:rPr>
          <w:rFonts w:ascii="Helvetica" w:hAnsi="Helvetica" w:cs="Helvetica"/>
        </w:rPr>
        <w:t>.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>•</w:t>
      </w:r>
      <w:r>
        <w:rPr>
          <w:rFonts w:ascii="Helvetica" w:hAnsi="Helvetica" w:cs="Helvetica"/>
        </w:rPr>
        <w:t xml:space="preserve"> </w:t>
      </w:r>
      <w:r w:rsidRPr="005A3F2A">
        <w:rPr>
          <w:rFonts w:ascii="Helvetica" w:hAnsi="Helvetica" w:cs="Helvetica"/>
        </w:rPr>
        <w:t xml:space="preserve">Shreya Shankar, Yoni Halpern, Eric Breck, James Atwood, </w:t>
      </w:r>
      <w:proofErr w:type="spellStart"/>
      <w:r w:rsidRPr="005A3F2A">
        <w:rPr>
          <w:rFonts w:ascii="Helvetica" w:hAnsi="Helvetica" w:cs="Helvetica"/>
        </w:rPr>
        <w:t>Jimbo</w:t>
      </w:r>
      <w:proofErr w:type="spellEnd"/>
      <w:r w:rsidRPr="005A3F2A">
        <w:rPr>
          <w:rFonts w:ascii="Helvetica" w:hAnsi="Helvetica" w:cs="Helvetica"/>
        </w:rPr>
        <w:t xml:space="preserve"> Wilson, D. Sculley,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“No Classification without Representation: Assessing Geodiversity Issues in Open 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r w:rsidRPr="005A3F2A">
        <w:rPr>
          <w:rFonts w:ascii="Helvetica" w:hAnsi="Helvetica" w:cs="Helvetica"/>
        </w:rPr>
        <w:t xml:space="preserve">Data Sets for the Developing World,” </w:t>
      </w:r>
      <w:proofErr w:type="spellStart"/>
      <w:r w:rsidRPr="005A3F2A">
        <w:rPr>
          <w:rFonts w:ascii="Helvetica" w:hAnsi="Helvetica" w:cs="Helvetica"/>
        </w:rPr>
        <w:t>arXiv</w:t>
      </w:r>
      <w:proofErr w:type="spellEnd"/>
      <w:r>
        <w:rPr>
          <w:rFonts w:ascii="Helvetica" w:hAnsi="Helvetica" w:cs="Helvetica"/>
        </w:rPr>
        <w:t xml:space="preserve"> </w:t>
      </w:r>
      <w:r w:rsidRPr="005A3F2A">
        <w:rPr>
          <w:rFonts w:ascii="Helvetica" w:hAnsi="Helvetica" w:cs="Helvetica"/>
        </w:rPr>
        <w:t xml:space="preserve">(November 2017). </w:t>
      </w:r>
    </w:p>
    <w:p w:rsidR="005A3F2A" w:rsidRDefault="00000000" w:rsidP="005A3F2A">
      <w:pPr>
        <w:autoSpaceDE w:val="0"/>
        <w:autoSpaceDN w:val="0"/>
        <w:adjustRightInd w:val="0"/>
        <w:rPr>
          <w:rFonts w:ascii="Helvetica" w:hAnsi="Helvetica" w:cs="Helvetica"/>
        </w:rPr>
      </w:pPr>
      <w:hyperlink r:id="rId18" w:history="1">
        <w:r w:rsidR="005A3F2A" w:rsidRPr="005A3F2A">
          <w:rPr>
            <w:rStyle w:val="Hyperlink"/>
            <w:rFonts w:ascii="Helvetica" w:hAnsi="Helvetica" w:cs="Helvetica"/>
          </w:rPr>
          <w:t>https://doi.org/10.48550/arXiv.1711.08536</w:t>
        </w:r>
      </w:hyperlink>
      <w:r w:rsidR="005A3F2A">
        <w:rPr>
          <w:rFonts w:ascii="Helvetica" w:hAnsi="Helvetica" w:cs="Helvetica"/>
        </w:rPr>
        <w:t>.</w:t>
      </w:r>
    </w:p>
    <w:p w:rsidR="005A3F2A" w:rsidRPr="005A3F2A" w:rsidRDefault="005A3F2A" w:rsidP="005A3F2A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5A3F2A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drawing>
          <wp:inline distT="0" distB="0" distL="0" distR="0" wp14:anchorId="673B6C21" wp14:editId="5DC7149C">
            <wp:extent cx="5943600" cy="2466975"/>
            <wp:effectExtent l="0" t="0" r="0" b="0"/>
            <wp:docPr id="152230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015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2A" w:rsidRDefault="005A3F2A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History is full of examples of disparate outcomes for different groups. If you train on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past biased decision-making, you might encode the historical, societal, or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geographical bias. Therefore, it’s important to think about the patterns that led to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biased outcomes to begin with.</w:t>
      </w:r>
    </w:p>
    <w:p w:rsid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References: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•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 xml:space="preserve">Solon </w:t>
      </w:r>
      <w:proofErr w:type="spellStart"/>
      <w:r w:rsidRPr="00646007">
        <w:rPr>
          <w:rFonts w:ascii="Helvetica" w:hAnsi="Helvetica" w:cs="Helvetica"/>
        </w:rPr>
        <w:t>Barocas</w:t>
      </w:r>
      <w:proofErr w:type="spellEnd"/>
      <w:r w:rsidRPr="00646007">
        <w:rPr>
          <w:rFonts w:ascii="Helvetica" w:hAnsi="Helvetica" w:cs="Helvetica"/>
        </w:rPr>
        <w:t xml:space="preserve"> and Andrew D. </w:t>
      </w:r>
      <w:proofErr w:type="spellStart"/>
      <w:r w:rsidRPr="00646007">
        <w:rPr>
          <w:rFonts w:ascii="Helvetica" w:hAnsi="Helvetica" w:cs="Helvetica"/>
        </w:rPr>
        <w:t>Selbst</w:t>
      </w:r>
      <w:proofErr w:type="spellEnd"/>
      <w:r w:rsidRPr="00646007">
        <w:rPr>
          <w:rFonts w:ascii="Helvetica" w:hAnsi="Helvetica" w:cs="Helvetica"/>
        </w:rPr>
        <w:t xml:space="preserve">, “Big Data’s Disparate Impact,” California Law </w:t>
      </w:r>
    </w:p>
    <w:p w:rsid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Review 104, no. 3. (June 2016): 671–732, </w:t>
      </w:r>
      <w:hyperlink r:id="rId20" w:history="1">
        <w:r w:rsidRPr="00646007">
          <w:rPr>
            <w:rStyle w:val="Hyperlink"/>
            <w:rFonts w:ascii="Helvetica" w:hAnsi="Helvetica" w:cs="Helvetica"/>
          </w:rPr>
          <w:t>http://dx.doi.org/10.15779/Z38BG31</w:t>
        </w:r>
      </w:hyperlink>
      <w:r>
        <w:rPr>
          <w:rFonts w:ascii="Helvetica" w:hAnsi="Helvetica" w:cs="Helvetica"/>
        </w:rPr>
        <w:t>.</w:t>
      </w:r>
    </w:p>
    <w:p w:rsid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•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 xml:space="preserve">Sandra Wachter, Brent </w:t>
      </w:r>
      <w:proofErr w:type="spellStart"/>
      <w:r w:rsidRPr="00646007">
        <w:rPr>
          <w:rFonts w:ascii="Helvetica" w:hAnsi="Helvetica" w:cs="Helvetica"/>
        </w:rPr>
        <w:t>Mittelstadt</w:t>
      </w:r>
      <w:proofErr w:type="spellEnd"/>
      <w:r w:rsidRPr="00646007">
        <w:rPr>
          <w:rFonts w:ascii="Helvetica" w:hAnsi="Helvetica" w:cs="Helvetica"/>
        </w:rPr>
        <w:t>, and Chris Russell, “Bias Preservation in Machine Learning: The Legality of Fairness Metrics under EU Non-discrimination Law,” West Virginia Law Review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 xml:space="preserve">123, no. 3. (2021): 2–51, </w:t>
      </w:r>
      <w:hyperlink r:id="rId21" w:history="1">
        <w:r w:rsidRPr="00646007">
          <w:rPr>
            <w:rStyle w:val="Hyperlink"/>
            <w:rFonts w:ascii="Helvetica" w:hAnsi="Helvetica" w:cs="Helvetica"/>
          </w:rPr>
          <w:t>https://researchrepository.wvu.edu/wvlr/vol123/iss3/4</w:t>
        </w:r>
      </w:hyperlink>
      <w:r>
        <w:rPr>
          <w:rFonts w:ascii="Helvetica" w:hAnsi="Helvetica" w:cs="Helvetica"/>
        </w:rPr>
        <w:t>.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drawing>
          <wp:inline distT="0" distB="0" distL="0" distR="0" wp14:anchorId="293863A5" wp14:editId="754D7B07">
            <wp:extent cx="5943600" cy="2466975"/>
            <wp:effectExtent l="0" t="0" r="0" b="0"/>
            <wp:docPr id="129647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93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A datasheet tries to capture all the important information about a dataset that is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used to train a model. To complete a datasheet, you must answer several important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questions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—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many of which can help to identify bias before the model is even trained.</w:t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lastRenderedPageBreak/>
        <w:drawing>
          <wp:inline distT="0" distB="0" distL="0" distR="0" wp14:anchorId="3AB3DE35" wp14:editId="75B7BEC3">
            <wp:extent cx="5943600" cy="1811655"/>
            <wp:effectExtent l="0" t="0" r="0" b="4445"/>
            <wp:docPr id="165417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732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drawing>
          <wp:inline distT="0" distB="0" distL="0" distR="0" wp14:anchorId="5CB9FA85" wp14:editId="427B2E90">
            <wp:extent cx="5943600" cy="2647315"/>
            <wp:effectExtent l="0" t="0" r="0" b="0"/>
            <wp:docPr id="136212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24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Exploratory data analysis (EDA) is important in ML in general, as it can help you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understand what kind of algorithm would be required to solve the ML problem. EDA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is also relevant to identify bias in the dataset by looking for correlations and data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skews. EDA includes the creation of summary statistics and graphical representations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of data (such as histograms and plots).</w:t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drawing>
          <wp:inline distT="0" distB="0" distL="0" distR="0" wp14:anchorId="4CDB5CBD" wp14:editId="06BCB5A3">
            <wp:extent cx="5943600" cy="2794635"/>
            <wp:effectExtent l="0" t="0" r="0" b="0"/>
            <wp:docPr id="93088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2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As part of EDA, you can analyze the distribution of the labels. Samples per class might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not be equally distributed, and the ML model might not work well for the infrequent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labels. In the chart on the slide, more data points are available for the “denied” label.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Models learn from data, so by seeing more negative outcomes, the model might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predict more negative outcomes in general. This can be especially bad if one group of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people </w:t>
      </w:r>
      <w:proofErr w:type="gramStart"/>
      <w:r w:rsidRPr="00646007">
        <w:rPr>
          <w:rFonts w:ascii="Helvetica" w:hAnsi="Helvetica" w:cs="Helvetica"/>
        </w:rPr>
        <w:t>is</w:t>
      </w:r>
      <w:proofErr w:type="gramEnd"/>
      <w:r w:rsidRPr="00646007">
        <w:rPr>
          <w:rFonts w:ascii="Helvetica" w:hAnsi="Helvetica" w:cs="Helvetica"/>
        </w:rPr>
        <w:t xml:space="preserve"> overrepresented in a certain outcome class.</w:t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lastRenderedPageBreak/>
        <w:drawing>
          <wp:inline distT="0" distB="0" distL="0" distR="0" wp14:anchorId="3A673BE3" wp14:editId="6D64D690">
            <wp:extent cx="5943600" cy="2894965"/>
            <wp:effectExtent l="0" t="0" r="0" b="635"/>
            <wp:docPr id="169565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57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07" w:rsidRPr="00646007" w:rsidRDefault="00646007" w:rsidP="00646007">
      <w:pPr>
        <w:shd w:val="clear" w:color="auto" w:fill="FFFFFF"/>
        <w:jc w:val="center"/>
        <w:rPr>
          <w:rFonts w:ascii="Arial" w:eastAsia="Times New Roman" w:hAnsi="Arial" w:cs="Arial"/>
          <w:sz w:val="22"/>
          <w:szCs w:val="22"/>
        </w:rPr>
      </w:pPr>
      <w:r w:rsidRPr="00646007">
        <w:rPr>
          <w:rFonts w:ascii="Arial" w:eastAsia="Times New Roman" w:hAnsi="Arial" w:cs="Arial"/>
          <w:sz w:val="22"/>
          <w:szCs w:val="22"/>
        </w:rPr>
        <w:t>Bar chart showing denied and approved outcome for loan</w:t>
      </w:r>
      <w:r>
        <w:rPr>
          <w:rFonts w:ascii="Arial" w:eastAsia="Times New Roman" w:hAnsi="Arial" w:cs="Arial"/>
          <w:sz w:val="22"/>
          <w:szCs w:val="22"/>
        </w:rPr>
        <w:t xml:space="preserve"> </w:t>
      </w:r>
      <w:r w:rsidRPr="00646007">
        <w:rPr>
          <w:rFonts w:ascii="Arial" w:eastAsia="Times New Roman" w:hAnsi="Arial" w:cs="Arial"/>
          <w:sz w:val="22"/>
          <w:szCs w:val="22"/>
        </w:rPr>
        <w:t>applications split by two groups, A and B. Group B has a worse ratio of approved</w:t>
      </w:r>
      <w:r>
        <w:rPr>
          <w:rFonts w:ascii="Arial" w:eastAsia="Times New Roman" w:hAnsi="Arial" w:cs="Arial"/>
          <w:sz w:val="22"/>
          <w:szCs w:val="22"/>
        </w:rPr>
        <w:t xml:space="preserve"> </w:t>
      </w:r>
      <w:r w:rsidRPr="00646007">
        <w:rPr>
          <w:rFonts w:ascii="Arial" w:eastAsia="Times New Roman" w:hAnsi="Arial" w:cs="Arial"/>
          <w:sz w:val="22"/>
          <w:szCs w:val="22"/>
        </w:rPr>
        <w:t>outcomes than group A.</w:t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Group imbalance can pose an additional complication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—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 xml:space="preserve">especially when negative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 xml:space="preserve">outcomes are disproportionally concentrated in one group. Therefore, you should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visualize and quantify outcomes (labels) per group.</w:t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  <w:noProof/>
        </w:rPr>
        <w:drawing>
          <wp:inline distT="0" distB="0" distL="0" distR="0" wp14:anchorId="431841F4" wp14:editId="1DC73B65">
            <wp:extent cx="5943600" cy="1805305"/>
            <wp:effectExtent l="0" t="0" r="0" b="0"/>
            <wp:docPr id="221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3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07" w:rsidRDefault="00646007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Class imbalance (CI) works to assess the imbalance in group sizes.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Positive CI values indicate that group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A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 xml:space="preserve">has more training samples in the dataset, and </w:t>
      </w:r>
    </w:p>
    <w:p w:rsid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a value of 1 indicates that the data only contains members of group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A.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Values of CI that are near zero indicate a more equal distribution of members between groups. A value of zero indicates a perfectly equal partition between groups and represents a balanced distribution of samples in the training data.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Negative CI values indicate that group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B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 xml:space="preserve">has more training samples in the dataset, and 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  <w:r w:rsidRPr="00646007">
        <w:rPr>
          <w:rFonts w:ascii="Helvetica" w:hAnsi="Helvetica" w:cs="Helvetica"/>
        </w:rPr>
        <w:t>a value of -1 indicates that the data only contains members of group</w:t>
      </w:r>
      <w:r>
        <w:rPr>
          <w:rFonts w:ascii="Helvetica" w:hAnsi="Helvetica" w:cs="Helvetica"/>
        </w:rPr>
        <w:t xml:space="preserve"> </w:t>
      </w:r>
      <w:r w:rsidRPr="00646007">
        <w:rPr>
          <w:rFonts w:ascii="Helvetica" w:hAnsi="Helvetica" w:cs="Helvetica"/>
        </w:rPr>
        <w:t>B</w:t>
      </w:r>
      <w:r>
        <w:rPr>
          <w:rFonts w:ascii="Helvetica" w:hAnsi="Helvetica" w:cs="Helvetica"/>
        </w:rPr>
        <w:t>.</w:t>
      </w:r>
    </w:p>
    <w:p w:rsidR="00646007" w:rsidRPr="00646007" w:rsidRDefault="00646007" w:rsidP="00646007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646007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  <w:noProof/>
        </w:rPr>
        <w:drawing>
          <wp:inline distT="0" distB="0" distL="0" distR="0" wp14:anchorId="28E24E6B" wp14:editId="768714B4">
            <wp:extent cx="5943600" cy="1805305"/>
            <wp:effectExtent l="0" t="0" r="0" b="0"/>
            <wp:docPr id="93092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225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For more metrics, see “Measure Pre-training Bias” in the Amazon SageMaker Developer Guide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>at</w:t>
      </w:r>
    </w:p>
    <w:p w:rsidR="00E90A54" w:rsidRDefault="00000000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hyperlink r:id="rId29" w:history="1">
        <w:r w:rsidR="00E90A54" w:rsidRPr="00E90A54">
          <w:rPr>
            <w:rStyle w:val="Hyperlink"/>
            <w:rFonts w:ascii="Helvetica" w:hAnsi="Helvetica" w:cs="Helvetica"/>
          </w:rPr>
          <w:t>https://docs.aws.amazon.com/sagemaker/latest/dg/clarify-measure-data-bias.html</w:t>
        </w:r>
      </w:hyperlink>
      <w:r w:rsidR="00E90A54">
        <w:rPr>
          <w:rFonts w:ascii="Helvetica" w:hAnsi="Helvetica" w:cs="Helvetica"/>
        </w:rPr>
        <w:t>.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lastRenderedPageBreak/>
        <w:t>Difference in proportion of labels (DPL) is specifically used to assess label distribution.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 xml:space="preserve">Another metric is difference in predicted proportion of labels (DPPL). The equation is 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 xml:space="preserve">the same as for DPL, but the numbers come from model predictions rather than </w:t>
      </w:r>
    </w:p>
    <w:p w:rsid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training data. You can often observe a shift for the worse in predicted labels.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Positive DPL values indicate that group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>A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 xml:space="preserve">has a higher proportion of positive </w:t>
      </w:r>
    </w:p>
    <w:p w:rsid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outcomes when compared with group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>B.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 xml:space="preserve">Values of DPL that are near zero indicate a more equal proportion of positive 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outcomes between groups. A value of zero indicates perfect demographic parity.</w:t>
      </w:r>
    </w:p>
    <w:p w:rsid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Negative DPL values indicate that group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>B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 xml:space="preserve">has a higher proportion of positive 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outcomes when compared with group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>A.</w:t>
      </w: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  <w:noProof/>
        </w:rPr>
        <w:drawing>
          <wp:inline distT="0" distB="0" distL="0" distR="0" wp14:anchorId="6C1E556B" wp14:editId="61C87F9A">
            <wp:extent cx="5943600" cy="2259965"/>
            <wp:effectExtent l="0" t="0" r="0" b="635"/>
            <wp:docPr id="95698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838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  <w:noProof/>
        </w:rPr>
        <w:drawing>
          <wp:inline distT="0" distB="0" distL="0" distR="0" wp14:anchorId="73EC3A6B" wp14:editId="4AF162A5">
            <wp:extent cx="5943600" cy="2720975"/>
            <wp:effectExtent l="0" t="0" r="0" b="0"/>
            <wp:docPr id="198906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88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Pr="00E90A54" w:rsidRDefault="00E90A54" w:rsidP="00E90A54">
      <w:pPr>
        <w:shd w:val="clear" w:color="auto" w:fill="FFFFFF"/>
        <w:jc w:val="center"/>
        <w:rPr>
          <w:rFonts w:ascii="Arial" w:eastAsia="Times New Roman" w:hAnsi="Arial" w:cs="Arial"/>
          <w:sz w:val="22"/>
          <w:szCs w:val="22"/>
        </w:rPr>
      </w:pPr>
      <w:r w:rsidRPr="00E90A54">
        <w:rPr>
          <w:rFonts w:ascii="Arial" w:eastAsia="Times New Roman" w:hAnsi="Arial" w:cs="Arial"/>
          <w:sz w:val="22"/>
          <w:szCs w:val="22"/>
        </w:rPr>
        <w:t>Bar chart with counts of loan approvals and denials. There are 660 denials for group A and 440 denials for group B, for a total of 1,100 denials. There are 350 approvals for group A and 50 approvals for group B, for a total of 400 approvals.</w:t>
      </w:r>
    </w:p>
    <w:p w:rsidR="00E90A54" w:rsidRDefault="00E90A54" w:rsidP="004450FE">
      <w:pPr>
        <w:autoSpaceDE w:val="0"/>
        <w:autoSpaceDN w:val="0"/>
        <w:adjustRightInd w:val="0"/>
        <w:rPr>
          <w:rFonts w:ascii="Helvetica" w:hAnsi="Helvetica" w:cs="Helvetica"/>
        </w:rPr>
      </w:pP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 xml:space="preserve">This slide provides an example of calculating CI and DPL metrics on a sample dataset. 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 xml:space="preserve">Note that the groups are represented almost equally for denied outcomes; however, 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group B makes up a small portion of the total number of approvals.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 xml:space="preserve">For information about additional metrics to measure bias, see “Measure Pretraining </w:t>
      </w:r>
    </w:p>
    <w:p w:rsidR="00E90A54" w:rsidRPr="00E90A54" w:rsidRDefault="00E90A54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r w:rsidRPr="00E90A54">
        <w:rPr>
          <w:rFonts w:ascii="Helvetica" w:hAnsi="Helvetica" w:cs="Helvetica"/>
        </w:rPr>
        <w:t>Bias” in the Amazon SageMaker Developer Guide</w:t>
      </w:r>
      <w:r>
        <w:rPr>
          <w:rFonts w:ascii="Helvetica" w:hAnsi="Helvetica" w:cs="Helvetica"/>
        </w:rPr>
        <w:t xml:space="preserve"> </w:t>
      </w:r>
      <w:r w:rsidRPr="00E90A54">
        <w:rPr>
          <w:rFonts w:ascii="Helvetica" w:hAnsi="Helvetica" w:cs="Helvetica"/>
        </w:rPr>
        <w:t>at</w:t>
      </w:r>
    </w:p>
    <w:p w:rsidR="00E90A54" w:rsidRDefault="00000000" w:rsidP="00E90A54">
      <w:pPr>
        <w:autoSpaceDE w:val="0"/>
        <w:autoSpaceDN w:val="0"/>
        <w:adjustRightInd w:val="0"/>
        <w:rPr>
          <w:rFonts w:ascii="Helvetica" w:hAnsi="Helvetica" w:cs="Helvetica"/>
        </w:rPr>
      </w:pPr>
      <w:hyperlink r:id="rId32" w:history="1">
        <w:r w:rsidR="00E90A54" w:rsidRPr="00E90A54">
          <w:rPr>
            <w:rStyle w:val="Hyperlink"/>
            <w:rFonts w:ascii="Helvetica" w:hAnsi="Helvetica" w:cs="Helvetica"/>
          </w:rPr>
          <w:t>https://docs.aws.amazon.com/sagemaker/latest/dg/clarify-measure-data-bias.html</w:t>
        </w:r>
      </w:hyperlink>
      <w:r w:rsidR="00E90A54">
        <w:rPr>
          <w:rFonts w:ascii="Helvetica" w:hAnsi="Helvetica" w:cs="Helvetica"/>
        </w:rPr>
        <w:t>.</w:t>
      </w:r>
    </w:p>
    <w:sectPr w:rsidR="00E90A54" w:rsidSect="007033EA">
      <w:pgSz w:w="12240" w:h="2016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356FCB"/>
    <w:multiLevelType w:val="hybridMultilevel"/>
    <w:tmpl w:val="02000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CE05F1"/>
    <w:multiLevelType w:val="hybridMultilevel"/>
    <w:tmpl w:val="2C029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2E294D"/>
    <w:multiLevelType w:val="hybridMultilevel"/>
    <w:tmpl w:val="C46049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85F72EB"/>
    <w:multiLevelType w:val="hybridMultilevel"/>
    <w:tmpl w:val="E2B83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2A6C1A"/>
    <w:multiLevelType w:val="hybridMultilevel"/>
    <w:tmpl w:val="016E4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A2F16"/>
    <w:multiLevelType w:val="hybridMultilevel"/>
    <w:tmpl w:val="12C2F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3B6878"/>
    <w:multiLevelType w:val="hybridMultilevel"/>
    <w:tmpl w:val="2AAE9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3F0FB1"/>
    <w:multiLevelType w:val="hybridMultilevel"/>
    <w:tmpl w:val="59B60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8651E6"/>
    <w:multiLevelType w:val="hybridMultilevel"/>
    <w:tmpl w:val="559E0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900319"/>
    <w:multiLevelType w:val="hybridMultilevel"/>
    <w:tmpl w:val="F266F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5802A3"/>
    <w:multiLevelType w:val="hybridMultilevel"/>
    <w:tmpl w:val="B14A0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8F4AC6"/>
    <w:multiLevelType w:val="hybridMultilevel"/>
    <w:tmpl w:val="9BC2C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FC08BF"/>
    <w:multiLevelType w:val="hybridMultilevel"/>
    <w:tmpl w:val="5A3E7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1C0632"/>
    <w:multiLevelType w:val="hybridMultilevel"/>
    <w:tmpl w:val="B614C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AA2ED6"/>
    <w:multiLevelType w:val="hybridMultilevel"/>
    <w:tmpl w:val="E81C06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9034609">
    <w:abstractNumId w:val="0"/>
  </w:num>
  <w:num w:numId="2" w16cid:durableId="1029069116">
    <w:abstractNumId w:val="4"/>
  </w:num>
  <w:num w:numId="3" w16cid:durableId="1908609016">
    <w:abstractNumId w:val="7"/>
  </w:num>
  <w:num w:numId="4" w16cid:durableId="1041437742">
    <w:abstractNumId w:val="10"/>
  </w:num>
  <w:num w:numId="5" w16cid:durableId="1414204522">
    <w:abstractNumId w:val="12"/>
  </w:num>
  <w:num w:numId="6" w16cid:durableId="87314506">
    <w:abstractNumId w:val="13"/>
  </w:num>
  <w:num w:numId="7" w16cid:durableId="1947807222">
    <w:abstractNumId w:val="11"/>
  </w:num>
  <w:num w:numId="8" w16cid:durableId="1928807752">
    <w:abstractNumId w:val="5"/>
  </w:num>
  <w:num w:numId="9" w16cid:durableId="1473786902">
    <w:abstractNumId w:val="14"/>
  </w:num>
  <w:num w:numId="10" w16cid:durableId="283267912">
    <w:abstractNumId w:val="2"/>
  </w:num>
  <w:num w:numId="11" w16cid:durableId="698549359">
    <w:abstractNumId w:val="8"/>
  </w:num>
  <w:num w:numId="12" w16cid:durableId="915242625">
    <w:abstractNumId w:val="15"/>
  </w:num>
  <w:num w:numId="13" w16cid:durableId="438183836">
    <w:abstractNumId w:val="9"/>
  </w:num>
  <w:num w:numId="14" w16cid:durableId="943609434">
    <w:abstractNumId w:val="1"/>
  </w:num>
  <w:num w:numId="15" w16cid:durableId="778376246">
    <w:abstractNumId w:val="6"/>
  </w:num>
  <w:num w:numId="16" w16cid:durableId="11211454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506"/>
    <w:rsid w:val="00000693"/>
    <w:rsid w:val="000156C8"/>
    <w:rsid w:val="00045896"/>
    <w:rsid w:val="00097026"/>
    <w:rsid w:val="000C36FA"/>
    <w:rsid w:val="001355E2"/>
    <w:rsid w:val="001639D4"/>
    <w:rsid w:val="00206A4A"/>
    <w:rsid w:val="002C3EC6"/>
    <w:rsid w:val="00303715"/>
    <w:rsid w:val="00306442"/>
    <w:rsid w:val="00340B82"/>
    <w:rsid w:val="003C2506"/>
    <w:rsid w:val="003E0269"/>
    <w:rsid w:val="003E6CA2"/>
    <w:rsid w:val="003F06AA"/>
    <w:rsid w:val="00436A5C"/>
    <w:rsid w:val="004450FE"/>
    <w:rsid w:val="00462554"/>
    <w:rsid w:val="00480135"/>
    <w:rsid w:val="004812B2"/>
    <w:rsid w:val="004A7E7B"/>
    <w:rsid w:val="004F1CEF"/>
    <w:rsid w:val="005530E1"/>
    <w:rsid w:val="005945E5"/>
    <w:rsid w:val="005A3F2A"/>
    <w:rsid w:val="00646007"/>
    <w:rsid w:val="006C3916"/>
    <w:rsid w:val="006C60FA"/>
    <w:rsid w:val="007033EA"/>
    <w:rsid w:val="007135D1"/>
    <w:rsid w:val="007A4A55"/>
    <w:rsid w:val="007C078F"/>
    <w:rsid w:val="007D6646"/>
    <w:rsid w:val="007F322A"/>
    <w:rsid w:val="008074C6"/>
    <w:rsid w:val="00832042"/>
    <w:rsid w:val="00866811"/>
    <w:rsid w:val="00906230"/>
    <w:rsid w:val="009A0B82"/>
    <w:rsid w:val="009A368D"/>
    <w:rsid w:val="009C2A6B"/>
    <w:rsid w:val="00A575E1"/>
    <w:rsid w:val="00A60D18"/>
    <w:rsid w:val="00AD12EC"/>
    <w:rsid w:val="00B11A09"/>
    <w:rsid w:val="00B15721"/>
    <w:rsid w:val="00B43171"/>
    <w:rsid w:val="00B52553"/>
    <w:rsid w:val="00B53F45"/>
    <w:rsid w:val="00B74E24"/>
    <w:rsid w:val="00BD0CEE"/>
    <w:rsid w:val="00BE5F54"/>
    <w:rsid w:val="00C91D3B"/>
    <w:rsid w:val="00C93BE1"/>
    <w:rsid w:val="00CA670F"/>
    <w:rsid w:val="00D21C59"/>
    <w:rsid w:val="00D30404"/>
    <w:rsid w:val="00D55FA0"/>
    <w:rsid w:val="00D56968"/>
    <w:rsid w:val="00E3538D"/>
    <w:rsid w:val="00E36298"/>
    <w:rsid w:val="00E86222"/>
    <w:rsid w:val="00E90A54"/>
    <w:rsid w:val="00F210E2"/>
    <w:rsid w:val="00F27CB6"/>
    <w:rsid w:val="00FC329E"/>
    <w:rsid w:val="00FD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A4ECFF55-535E-264C-B198-7AE928737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25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1C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1C5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62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0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5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0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0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4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7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9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7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68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6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9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5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6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7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9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00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20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1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3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9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1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7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0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2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34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26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5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3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1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73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7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62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2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8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7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41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73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6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4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83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6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7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7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6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1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2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8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7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0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3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4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13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6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5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5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02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7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3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8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62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8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8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3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92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9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2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36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3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7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7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7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0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9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0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5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8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9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0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2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33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4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2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9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5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4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8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2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0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00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3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83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8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1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0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6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2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6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1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1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2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5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9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96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3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0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5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5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8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5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7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3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0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3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8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78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2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7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5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04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7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3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19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4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9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5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8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9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4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70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4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0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8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3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8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7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2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8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7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4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1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0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14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54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0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5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8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4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2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8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7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8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0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9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8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14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04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8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9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0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1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0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2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7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2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9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3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1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9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6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9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7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22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5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3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0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6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3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1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4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6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74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4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5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1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1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99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21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1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6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1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3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4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9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2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5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4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15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2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3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1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5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4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8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0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25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1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7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2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4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3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8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3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73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6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5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8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8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2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2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16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9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60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6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5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8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9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4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6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1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8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1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8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8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65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6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1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5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62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3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5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1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8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3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1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2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6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94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909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56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52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949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22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90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46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06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92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17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57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74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06441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134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9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6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3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65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8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6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8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8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5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9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55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9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3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9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4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6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7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5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8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7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4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1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4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9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6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3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0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5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5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98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1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6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5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7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41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96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8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4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4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1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8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8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2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1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9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8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6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62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1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8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5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9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2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7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1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4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4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8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2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4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5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64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2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1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8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54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4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8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2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9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1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3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9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7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5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5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1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6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2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6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4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5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2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8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3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5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9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1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8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1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6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0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76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5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8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0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3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1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8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63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2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6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9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8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8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8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5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8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4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0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68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5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96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4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0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1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0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9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1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6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2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8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7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54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8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5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5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6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5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4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9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8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67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82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0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4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13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1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2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8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2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6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3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8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53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4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9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6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7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2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4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5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0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2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3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0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6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7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60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4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30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9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9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0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4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3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5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4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9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7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8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2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6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2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7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3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0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71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5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9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9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5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228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99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42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47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26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63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53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10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03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7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30108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036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7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8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9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3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4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83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44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1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55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3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9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0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7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4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4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5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6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59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31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4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33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5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2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0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7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6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2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1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0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9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1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9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5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6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2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1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36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8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5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46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76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1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8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4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1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6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6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8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9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5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14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3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2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6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9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4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9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99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6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1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6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9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2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7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4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4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6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16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1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5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6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2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0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4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5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9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3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9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21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9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95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0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5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6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8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03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6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4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1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5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4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9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3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6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2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9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5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2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95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doi.org/10.48550/arXiv.1711.08536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https://researchrepository.wvu.edu/wvlr/vol123/iss3/4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oi.org/10.48550/arXiv.1607.06520" TargetMode="External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dx.doi.org/10.15779/Z38BG31" TargetMode="External"/><Relationship Id="rId29" Type="http://schemas.openxmlformats.org/officeDocument/2006/relationships/hyperlink" Target="https://docs.aws.amazon.com/sagemaker/latest/dg/clarify-measure-data-bias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hyperlink" Target="https://docs.aws.amazon.com/sagemaker/latest/dg/clarify-measure-data-bias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1001</Words>
  <Characters>5706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Route 66 Networks LLC</Company>
  <LinksUpToDate>false</LinksUpToDate>
  <CharactersWithSpaces>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Winston Lee</dc:creator>
  <cp:keywords/>
  <dc:description/>
  <cp:lastModifiedBy>Winston Lee</cp:lastModifiedBy>
  <cp:revision>2</cp:revision>
  <dcterms:created xsi:type="dcterms:W3CDTF">2024-04-23T15:08:00Z</dcterms:created>
  <dcterms:modified xsi:type="dcterms:W3CDTF">2024-04-23T15:08:00Z</dcterms:modified>
</cp:coreProperties>
</file>